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B3" w:rsidRDefault="009877B3" w:rsidP="009877B3">
      <w:pPr>
        <w:pStyle w:val="berschrift1"/>
      </w:pPr>
      <w:r>
        <w:t xml:space="preserve">Autor_innen: </w:t>
      </w:r>
    </w:p>
    <w:p w:rsidR="009877B3" w:rsidRDefault="005A5D25" w:rsidP="00C82E81">
      <w:r>
        <w:t xml:space="preserve">Gabi Ricken, </w:t>
      </w:r>
      <w:r w:rsidR="00027972" w:rsidRPr="00027972">
        <w:t>Marie-Luise Schütt,</w:t>
      </w:r>
      <w:r>
        <w:t xml:space="preserve"> Stephanie Wenck, Timo Hennig </w:t>
      </w:r>
    </w:p>
    <w:p w:rsidR="009877B3" w:rsidRDefault="009877B3" w:rsidP="009877B3">
      <w:pPr>
        <w:pStyle w:val="berschrift1"/>
      </w:pPr>
      <w:r>
        <w:t>Poster:</w:t>
      </w:r>
    </w:p>
    <w:p w:rsidR="009877B3" w:rsidRDefault="00D46ADB" w:rsidP="009877B3">
      <w:r>
        <w:t>Erkennen und Abbauen von Lernbarrieren als inklusionsrelevante Kompetenz</w:t>
      </w:r>
    </w:p>
    <w:p w:rsidR="009877B3" w:rsidRDefault="009877B3" w:rsidP="009877B3">
      <w:pPr>
        <w:pStyle w:val="berschrift1"/>
      </w:pPr>
      <w:r>
        <w:t>Einrichtung:</w:t>
      </w:r>
    </w:p>
    <w:p w:rsidR="009877B3" w:rsidRPr="005645AA" w:rsidRDefault="009877B3" w:rsidP="009877B3">
      <w:r>
        <w:t>Universität Hamburg, Qualitätsoffensive Lehrerbildung: Projekt ProfaLe</w:t>
      </w:r>
    </w:p>
    <w:p w:rsidR="009877B3" w:rsidRDefault="009877B3" w:rsidP="009877B3">
      <w:pPr>
        <w:pStyle w:val="berschrift1"/>
      </w:pPr>
      <w:r>
        <w:t xml:space="preserve">Grundaufbau des Posters: </w:t>
      </w:r>
    </w:p>
    <w:p w:rsidR="009877B3" w:rsidRDefault="002013EF" w:rsidP="009877B3">
      <w:r>
        <w:t xml:space="preserve">Das Poster gliedert sich in </w:t>
      </w:r>
      <w:r w:rsidR="00D46ADB">
        <w:t>zwei</w:t>
      </w:r>
      <w:r>
        <w:t xml:space="preserve"> Inhalts</w:t>
      </w:r>
      <w:r w:rsidR="0099358C">
        <w:t>bereiche auf. Im ersten Inhaltsbereich</w:t>
      </w:r>
      <w:r w:rsidR="00D46ADB">
        <w:t xml:space="preserve"> werden die theoretischen Grundlagen in zwei ne</w:t>
      </w:r>
      <w:r w:rsidR="0099358C">
        <w:t>beneinander angeordneten Inhaltsblöcken</w:t>
      </w:r>
      <w:r w:rsidR="00D46ADB">
        <w:t xml:space="preserve"> </w:t>
      </w:r>
      <w:r w:rsidR="002C3400">
        <w:t xml:space="preserve">benannt. </w:t>
      </w:r>
      <w:r w:rsidR="00D46ADB">
        <w:t>Mit einem Pfeil wird zu</w:t>
      </w:r>
      <w:r w:rsidR="0099358C">
        <w:t>m zweiten Inhaltsbereich</w:t>
      </w:r>
      <w:r w:rsidR="00D46ADB">
        <w:t xml:space="preserve">, welcher die konkreten Umsetzungsbeispiele aus dem Handlungsfeld Inklusion beinhaltet, übergeleitet. </w:t>
      </w:r>
      <w:r w:rsidR="00740632">
        <w:t>Die Beispiele bes</w:t>
      </w:r>
      <w:r w:rsidR="0099358C">
        <w:t>tehen jeweils aus zwei Inhaltsblöcken</w:t>
      </w:r>
      <w:r w:rsidR="00740632">
        <w:t>, welche sich in die Konzeptdarstellung und Darstel</w:t>
      </w:r>
      <w:r w:rsidR="0099358C">
        <w:t xml:space="preserve">lung der (Teil-)Ergebnisse </w:t>
      </w:r>
      <w:r w:rsidR="00740632">
        <w:t>gliedern.</w:t>
      </w:r>
      <w:r w:rsidR="00D46ADB">
        <w:t xml:space="preserve"> </w:t>
      </w:r>
      <w:r w:rsidR="002C3400">
        <w:t>Im Anschluss an die Inhaltsb</w:t>
      </w:r>
      <w:r w:rsidR="00740632">
        <w:t>löcke</w:t>
      </w:r>
      <w:r w:rsidR="002C3400">
        <w:t xml:space="preserve"> folgt die Auflistung der verwendeten Literatur. </w:t>
      </w:r>
    </w:p>
    <w:p w:rsidR="009877B3" w:rsidRDefault="009877B3" w:rsidP="009877B3">
      <w:pPr>
        <w:pStyle w:val="berschrift1"/>
      </w:pPr>
      <w:r>
        <w:t>Inhalt des Posters</w:t>
      </w:r>
    </w:p>
    <w:p w:rsidR="009877B3" w:rsidRDefault="002C3400" w:rsidP="002C3400">
      <w:pPr>
        <w:pStyle w:val="berschrift2"/>
        <w:numPr>
          <w:ilvl w:val="0"/>
          <w:numId w:val="7"/>
        </w:numPr>
        <w:ind w:left="284" w:hanging="284"/>
      </w:pPr>
      <w:r>
        <w:t>Inhaltsb</w:t>
      </w:r>
      <w:r w:rsidR="00027972">
        <w:t xml:space="preserve">lock: </w:t>
      </w:r>
      <w:r w:rsidR="00740632">
        <w:t>Theoretische Grundlagen</w:t>
      </w:r>
    </w:p>
    <w:p w:rsidR="00740632" w:rsidRDefault="00740632" w:rsidP="00740632">
      <w:pPr>
        <w:pStyle w:val="berschrift3"/>
      </w:pPr>
      <w:r>
        <w:t>1. Zug</w:t>
      </w:r>
      <w:r>
        <w:t>änglichkeit als Leitprinzip in</w:t>
      </w:r>
      <w:r>
        <w:t>klusiven Unterricchts verstehen</w:t>
      </w:r>
    </w:p>
    <w:p w:rsidR="00740632" w:rsidRPr="00740632" w:rsidRDefault="00740632" w:rsidP="00740632">
      <w:r w:rsidRPr="00740632">
        <w:rPr>
          <w:b/>
          <w:bCs/>
        </w:rPr>
        <w:t xml:space="preserve">Universal Design for Learning (UDL) </w:t>
      </w:r>
      <w:r w:rsidRPr="00740632">
        <w:t>bietet Prinzipien/Rahmenrichtlinien zur Gestaltung zugänglicher Lehr- und Lernprozesse (Meyer, Rose &amp; Gordon, 2014)</w:t>
      </w:r>
    </w:p>
    <w:p w:rsidR="00740632" w:rsidRPr="00740632" w:rsidRDefault="00740632" w:rsidP="00740632">
      <w:r w:rsidRPr="00740632">
        <w:t xml:space="preserve">Vorteile: </w:t>
      </w:r>
    </w:p>
    <w:p w:rsidR="00000000" w:rsidRPr="00740632" w:rsidRDefault="0099358C" w:rsidP="00740632">
      <w:pPr>
        <w:pStyle w:val="Listenabsatz"/>
        <w:numPr>
          <w:ilvl w:val="0"/>
          <w:numId w:val="13"/>
        </w:numPr>
      </w:pPr>
      <w:r w:rsidRPr="00740632">
        <w:t>Adaptive Unterrichtsgestaltung (We</w:t>
      </w:r>
      <w:r w:rsidRPr="00740632">
        <w:t>mber &amp; Melle, 2018)</w:t>
      </w:r>
    </w:p>
    <w:p w:rsidR="00000000" w:rsidRPr="00740632" w:rsidRDefault="0099358C" w:rsidP="00740632">
      <w:pPr>
        <w:pStyle w:val="Listenabsatz"/>
        <w:numPr>
          <w:ilvl w:val="0"/>
          <w:numId w:val="13"/>
        </w:numPr>
      </w:pPr>
      <w:r w:rsidRPr="00740632">
        <w:t>Mehr Reibungslosigkeit und Schwung im Unterricht</w:t>
      </w:r>
    </w:p>
    <w:p w:rsidR="00000000" w:rsidRPr="00740632" w:rsidRDefault="0099358C" w:rsidP="00740632">
      <w:pPr>
        <w:pStyle w:val="Listenabsatz"/>
        <w:numPr>
          <w:ilvl w:val="0"/>
          <w:numId w:val="13"/>
        </w:numPr>
      </w:pPr>
      <w:r w:rsidRPr="00740632">
        <w:t>Ressourcenorientierung statt Frustration</w:t>
      </w:r>
    </w:p>
    <w:p w:rsidR="00000000" w:rsidRPr="00740632" w:rsidRDefault="0099358C" w:rsidP="00740632">
      <w:pPr>
        <w:pStyle w:val="Listenabsatz"/>
        <w:numPr>
          <w:ilvl w:val="0"/>
          <w:numId w:val="13"/>
        </w:numPr>
      </w:pPr>
      <w:r w:rsidRPr="00740632">
        <w:t>Vermeidung von Selbst- und Fremd-Stigmatisierung</w:t>
      </w:r>
    </w:p>
    <w:p w:rsidR="00000000" w:rsidRDefault="0099358C" w:rsidP="00740632">
      <w:pPr>
        <w:pStyle w:val="Listenabsatz"/>
        <w:numPr>
          <w:ilvl w:val="0"/>
          <w:numId w:val="13"/>
        </w:numPr>
      </w:pPr>
      <w:r w:rsidRPr="00740632">
        <w:t xml:space="preserve">Vorteile für alle Lernenden </w:t>
      </w:r>
    </w:p>
    <w:p w:rsidR="00740632" w:rsidRDefault="00740632" w:rsidP="00740632">
      <w:r>
        <w:t>D</w:t>
      </w:r>
      <w:r w:rsidR="0099358C">
        <w:t>er Block</w:t>
      </w:r>
      <w:r>
        <w:t xml:space="preserve"> enthält eine Abbildung, welche sechs rote Waben zeigt. Diese Waben symbolisieren </w:t>
      </w:r>
      <w:r w:rsidR="0099358C">
        <w:t xml:space="preserve">wesentliche </w:t>
      </w:r>
      <w:r>
        <w:t>Bausteine</w:t>
      </w:r>
      <w:r w:rsidR="0099358C">
        <w:t>, welche bei der Gestaltung eines inklusiven Unterrichts gemäß dem UDL näher zu betrachten sind (Zugänglichkeit der Lerninhalte, Zugänglichkeit der Lernmethoden, Zugänglichkeit durch Zielklarheit, Zugänglichkeit der Lernmedien, Zugänglichkeit der Lernräume, …)</w:t>
      </w:r>
      <w:r>
        <w:t xml:space="preserve">. </w:t>
      </w:r>
      <w:r w:rsidR="0099358C">
        <w:t xml:space="preserve">Die Aufzählung könnte noch fortgesetzt werden, was durch die drei Punkte in der letzten Wabe signalsiert wird. Ein roter Pfeil leitet zur zweiten theoretischen Grundlage über. </w:t>
      </w:r>
      <w:bookmarkStart w:id="0" w:name="_GoBack"/>
      <w:bookmarkEnd w:id="0"/>
    </w:p>
    <w:p w:rsidR="00740632" w:rsidRDefault="00740632" w:rsidP="00740632">
      <w:pPr>
        <w:pStyle w:val="berschrift3"/>
      </w:pPr>
      <w:r>
        <w:lastRenderedPageBreak/>
        <w:t>2. Lernbarrieren im Unterricht erkennen</w:t>
      </w:r>
    </w:p>
    <w:p w:rsidR="00740632" w:rsidRPr="00740632" w:rsidRDefault="00740632" w:rsidP="00740632">
      <w:r w:rsidRPr="00740632">
        <w:t>Universelle Zugängl</w:t>
      </w:r>
      <w:r>
        <w:t xml:space="preserve">ichkeit/Barrierefreiheit als </w:t>
      </w:r>
      <w:r w:rsidRPr="00740632">
        <w:t>Ideal – Vorli</w:t>
      </w:r>
      <w:r>
        <w:t xml:space="preserve">egen von Barrieren als Realität </w:t>
      </w:r>
      <w:r>
        <w:sym w:font="Wingdings" w:char="F0E0"/>
      </w:r>
      <w:r w:rsidRPr="00740632">
        <w:t xml:space="preserve"> „Barrieren-Brille“ aufsetzen:</w:t>
      </w:r>
    </w:p>
    <w:p w:rsidR="00740632" w:rsidRPr="00740632" w:rsidRDefault="00740632" w:rsidP="00740632">
      <w:r w:rsidRPr="00740632">
        <w:t>„Was am Unterri</w:t>
      </w:r>
      <w:r>
        <w:t xml:space="preserve">cht könnte eine Lernbarriere </w:t>
      </w:r>
      <w:r w:rsidRPr="00740632">
        <w:t xml:space="preserve">sein/woraus könnten Lernbarrieren entstehen?“ </w:t>
      </w:r>
    </w:p>
    <w:p w:rsidR="00740632" w:rsidRPr="00740632" w:rsidRDefault="00740632" w:rsidP="00740632">
      <w:pPr>
        <w:pStyle w:val="Listenabsatz"/>
        <w:numPr>
          <w:ilvl w:val="0"/>
          <w:numId w:val="12"/>
        </w:numPr>
      </w:pPr>
      <w:r w:rsidRPr="00740632">
        <w:t>Brillenkonzept: Wissen steuert Weltwahrnehmung &amp; -deutung sowie Problemdefinition (Neuweg, 2004)</w:t>
      </w:r>
    </w:p>
    <w:p w:rsidR="00740632" w:rsidRPr="00740632" w:rsidRDefault="00740632" w:rsidP="00740632">
      <w:pPr>
        <w:pStyle w:val="Listenabsatz"/>
        <w:numPr>
          <w:ilvl w:val="0"/>
          <w:numId w:val="12"/>
        </w:numPr>
      </w:pPr>
      <w:r w:rsidRPr="00740632">
        <w:t>Selektive Wahrnehmung („noticing“, Sherin, Jacobs &amp; Randolph, 2011) als zentrale situationsspezifische Fähigkeit im Unterricht</w:t>
      </w:r>
    </w:p>
    <w:p w:rsidR="00740632" w:rsidRPr="00740632" w:rsidRDefault="00740632" w:rsidP="00740632">
      <w:pPr>
        <w:pStyle w:val="Listenabsatz"/>
        <w:numPr>
          <w:ilvl w:val="0"/>
          <w:numId w:val="12"/>
        </w:numPr>
      </w:pPr>
      <w:r w:rsidRPr="00740632">
        <w:t>Wahrnehmung und Interpretation als Bindeglieder zwischen Professionswissen und Performanz von Lehrkräften (Blömeke et al., 2015)</w:t>
      </w:r>
    </w:p>
    <w:p w:rsidR="00740632" w:rsidRDefault="00740632" w:rsidP="00740632">
      <w:pPr>
        <w:pStyle w:val="Listenabsatz"/>
        <w:numPr>
          <w:ilvl w:val="0"/>
          <w:numId w:val="12"/>
        </w:numPr>
      </w:pPr>
      <w:r w:rsidRPr="00740632">
        <w:t>Nicht erfüllte Merkmale guten Unterrichts (z. B. Etablierung von Regeln &amp; Routinen, Holodynski et al., 2017) können zu Lernbarrieren führen</w:t>
      </w:r>
    </w:p>
    <w:p w:rsidR="0099358C" w:rsidRPr="00740632" w:rsidRDefault="0099358C" w:rsidP="0099358C">
      <w:r>
        <w:t>Im Inhaltsblock kommt eine Brille als Symbol für die „Barrieren-Brille“ zur Anwendung.</w:t>
      </w:r>
    </w:p>
    <w:p w:rsidR="000F0623" w:rsidRDefault="00027972" w:rsidP="000F0623">
      <w:pPr>
        <w:pStyle w:val="berschrift2"/>
        <w:numPr>
          <w:ilvl w:val="0"/>
          <w:numId w:val="7"/>
        </w:numPr>
        <w:ind w:left="284" w:hanging="284"/>
      </w:pPr>
      <w:r>
        <w:t>Inhaltsblock</w:t>
      </w:r>
      <w:r w:rsidR="000F0623">
        <w:t xml:space="preserve">: </w:t>
      </w:r>
      <w:r w:rsidR="00740632">
        <w:t>Umsetzungsbeispiele aus dem Handlungsfeld Inklusion des Projekts „ProfaLe“</w:t>
      </w:r>
    </w:p>
    <w:p w:rsidR="00740632" w:rsidRDefault="00740632" w:rsidP="00740632">
      <w:pPr>
        <w:pStyle w:val="berschrift3"/>
      </w:pPr>
      <w:r>
        <w:t>Beispiel 1: Servicestelle InkluSoB</w:t>
      </w:r>
    </w:p>
    <w:p w:rsidR="00F179EC" w:rsidRPr="00F179EC" w:rsidRDefault="00F179EC" w:rsidP="00F179EC">
      <w:pPr>
        <w:pStyle w:val="berschrift4"/>
      </w:pPr>
      <w:r>
        <w:t>Konzept</w:t>
      </w:r>
    </w:p>
    <w:p w:rsidR="00F179EC" w:rsidRPr="00F179EC" w:rsidRDefault="00F179EC" w:rsidP="00F179EC">
      <w:r w:rsidRPr="00F179EC">
        <w:t>Ausgangspunkt: Um das</w:t>
      </w:r>
      <w:r>
        <w:t xml:space="preserve"> Thema Barrierefreiheit in der </w:t>
      </w:r>
      <w:r w:rsidRPr="00F179EC">
        <w:t>Hamburger Lehrerbildung zu verankern, wurde die Servicestelle InkluSoB (Inklusive Schule ohne Barrieren) an der Fakultät für Erziehungswissenschaft (Universität Hamburg) implementiert.</w:t>
      </w:r>
    </w:p>
    <w:p w:rsidR="00F179EC" w:rsidRPr="00F179EC" w:rsidRDefault="00F179EC" w:rsidP="00F179EC">
      <w:r w:rsidRPr="00F179EC">
        <w:t>Zielstellung: Sensibilisierung zukünftiger Lehrkräfte für die Gestaltung zugänglicher Lehr- und Lernprozesse; Aufbereitung von erforderlichen Wissensbausteinen zur Qualifizierung zukünftiger Lehrkräfte (barrierefreie Gestaltung von Arbeitsblättern, Räumlichkeiten, Lernprozessen, …)</w:t>
      </w:r>
    </w:p>
    <w:p w:rsidR="00F179EC" w:rsidRPr="00F179EC" w:rsidRDefault="00F179EC" w:rsidP="00F179EC">
      <w:r w:rsidRPr="00F179EC">
        <w:t>Zielgruppen: Studierende, Lehrende sowie Personal aus dem Verwaltungsbereich</w:t>
      </w:r>
    </w:p>
    <w:p w:rsidR="00740632" w:rsidRDefault="00F179EC" w:rsidP="00F179EC">
      <w:r w:rsidRPr="00F179EC">
        <w:t>Methode:</w:t>
      </w:r>
      <w:r>
        <w:t xml:space="preserve"> Peer-to-Peer-Beratung, Beratung, Seminar(kooperationen), Extracurriculare Veranstaltungen/Workshops</w:t>
      </w:r>
    </w:p>
    <w:p w:rsidR="00F179EC" w:rsidRDefault="00F179EC" w:rsidP="00F179EC">
      <w:pPr>
        <w:pStyle w:val="berschrift4"/>
      </w:pPr>
      <w:r>
        <w:t>(Teil-)Ergebnis</w:t>
      </w:r>
    </w:p>
    <w:p w:rsidR="00F179EC" w:rsidRDefault="00F179EC" w:rsidP="00F179EC">
      <w:r>
        <w:t>Analyseschema „EHFA“ für Turnhallen</w:t>
      </w:r>
    </w:p>
    <w:p w:rsidR="00F179EC" w:rsidRDefault="00F179EC" w:rsidP="00F179EC">
      <w:r>
        <w:t>Ausgangspunkt: Seminarkooperation von InkluSoB mit der Fachdidaktik Sport</w:t>
      </w:r>
    </w:p>
    <w:p w:rsidR="00F179EC" w:rsidRDefault="00F179EC" w:rsidP="00F179EC">
      <w:r>
        <w:t xml:space="preserve">Zielstellung: Bestimmung der Barrierefreiheit </w:t>
      </w:r>
      <w:r>
        <w:t xml:space="preserve">von Turnhallen in der Hamburger </w:t>
      </w:r>
      <w:r>
        <w:t>Schullandschaft</w:t>
      </w:r>
    </w:p>
    <w:p w:rsidR="00F179EC" w:rsidRDefault="00F179EC" w:rsidP="00F179EC">
      <w:r>
        <w:t>Methode: (Weiter-)Entwicklung eines Analyses</w:t>
      </w:r>
      <w:r>
        <w:t xml:space="preserve">chemas (EHfa-Analyseschema) zur </w:t>
      </w:r>
      <w:r>
        <w:t>Feststellung der Barrierefreiheit von Hamburger Turnhallen</w:t>
      </w:r>
    </w:p>
    <w:p w:rsidR="00F179EC" w:rsidRDefault="00F179EC" w:rsidP="00F179EC">
      <w:r>
        <w:lastRenderedPageBreak/>
        <w:t>Beispiel aus dem EHfa-Analyseschema (QB5 Ordnung &amp; Aufbewahrungssysteme)</w:t>
      </w:r>
      <w:r>
        <w:t xml:space="preserve">: </w:t>
      </w:r>
      <w:r>
        <w:t>Schülerinnen und Schüler mit und ohne spezifische Bed</w:t>
      </w:r>
      <w:r>
        <w:t xml:space="preserve">arfe profitieren von einer klar </w:t>
      </w:r>
      <w:r>
        <w:t>erkennbaren Ordnungsstruktur im Geräteraum. Die bestmöglic</w:t>
      </w:r>
      <w:r>
        <w:t xml:space="preserve">he Zugänglichkeit (z. </w:t>
      </w:r>
      <w:r>
        <w:t>B. Materialien in erreichbarer Höhe, Geräteraum ist beg</w:t>
      </w:r>
      <w:r>
        <w:t xml:space="preserve">ehbar…) stellt sicher, dass die </w:t>
      </w:r>
      <w:r>
        <w:t>Schülerinnen und Schüler selbständig häufig genutzt</w:t>
      </w:r>
      <w:r>
        <w:t xml:space="preserve">e Materialien (wie z. B. Bälle) </w:t>
      </w:r>
      <w:r>
        <w:t xml:space="preserve">aus dem Geräteschrank nehmen können. In vielen Sportstätten ist </w:t>
      </w:r>
      <w:r>
        <w:t xml:space="preserve">dies nicht </w:t>
      </w:r>
      <w:r>
        <w:t>gegeben, was die aktive Partizipation aller Schülerinnen und Schüler einschränkt.</w:t>
      </w:r>
    </w:p>
    <w:p w:rsidR="00F179EC" w:rsidRDefault="00F179EC" w:rsidP="00F179EC">
      <w:pPr>
        <w:pStyle w:val="berschrift3"/>
      </w:pPr>
      <w:r>
        <w:t>Beispiel 2: Seminar „Lernbarrieren im Unterricht erkennen“</w:t>
      </w:r>
    </w:p>
    <w:p w:rsidR="00F179EC" w:rsidRDefault="00F179EC" w:rsidP="00F179EC">
      <w:pPr>
        <w:pStyle w:val="berschrift4"/>
      </w:pPr>
      <w:r>
        <w:t>Konzept</w:t>
      </w:r>
    </w:p>
    <w:p w:rsidR="00F179EC" w:rsidRDefault="00F179EC" w:rsidP="00F179EC">
      <w:r>
        <w:t>Zielstellung: Entwicklung eines Seminark</w:t>
      </w:r>
      <w:r>
        <w:t>onzepts für Lehramtsstudierende</w:t>
      </w:r>
    </w:p>
    <w:p w:rsidR="00F179EC" w:rsidRDefault="00F179EC" w:rsidP="00F179EC">
      <w:r>
        <w:t>Methode: Fokus auf Beobachtung eines Merkm</w:t>
      </w:r>
      <w:r>
        <w:t xml:space="preserve">als guten Unterrichts und damit </w:t>
      </w:r>
      <w:r>
        <w:t>verbundener Lernbarrieren, 5 einstündige Un</w:t>
      </w:r>
      <w:r>
        <w:t xml:space="preserve">terrichtsbesuche in 3er-Gruppe, </w:t>
      </w:r>
      <w:r>
        <w:t>Erarbeitung eines Beobachtungssystems, Reflexio</w:t>
      </w:r>
      <w:r>
        <w:t xml:space="preserve">n nach jedem Termin im Seminar, </w:t>
      </w:r>
      <w:r>
        <w:t>Posterwalk am Ende des Semesters</w:t>
      </w:r>
    </w:p>
    <w:p w:rsidR="00F179EC" w:rsidRDefault="00F179EC" w:rsidP="00F179EC">
      <w:r>
        <w:t xml:space="preserve">Beispiel: </w:t>
      </w:r>
    </w:p>
    <w:p w:rsidR="00F179EC" w:rsidRDefault="00F179EC" w:rsidP="00F179EC">
      <w:pPr>
        <w:pStyle w:val="Listenabsatz"/>
        <w:numPr>
          <w:ilvl w:val="0"/>
          <w:numId w:val="14"/>
        </w:numPr>
      </w:pPr>
      <w:r>
        <w:t xml:space="preserve">Brainstorming aus dem Seminar: Beobachtungsgegenstand (Wofür gibt es </w:t>
      </w:r>
      <w:proofErr w:type="gramStart"/>
      <w:r>
        <w:t>Regeln?,</w:t>
      </w:r>
      <w:proofErr w:type="gramEnd"/>
      <w:r>
        <w:t xml:space="preserve"> Anzahl der Regeln, Sichtbarkeit der Regeln, Hinweise auf Regeln durch Lehrkräfte)</w:t>
      </w:r>
    </w:p>
    <w:p w:rsidR="00F179EC" w:rsidRDefault="00F179EC" w:rsidP="00F179EC">
      <w:pPr>
        <w:pStyle w:val="Listenabsatz"/>
        <w:numPr>
          <w:ilvl w:val="0"/>
          <w:numId w:val="14"/>
        </w:numPr>
      </w:pPr>
      <w:r>
        <w:t>Wandplakat: Regeln der 3b (Wir hören anderen zu und lassen sie ausreden. In der Pause gehen wir alle nach draußen.)</w:t>
      </w:r>
    </w:p>
    <w:p w:rsidR="00F179EC" w:rsidRDefault="00F179EC" w:rsidP="00F179EC">
      <w:pPr>
        <w:pStyle w:val="Listenabsatz"/>
        <w:numPr>
          <w:ilvl w:val="0"/>
          <w:numId w:val="14"/>
        </w:numPr>
      </w:pPr>
      <w:r>
        <w:t xml:space="preserve">Lärmampel mit rotem, gelbem und grünem Smiley (Erläuterung: in Abhängigkeit von der Lärmstärke leuchtet die Lärmampel entsprechend auf). </w:t>
      </w:r>
    </w:p>
    <w:p w:rsidR="00F179EC" w:rsidRDefault="00F179EC" w:rsidP="00F179EC">
      <w:pPr>
        <w:pStyle w:val="berschrift4"/>
      </w:pPr>
      <w:r>
        <w:t>(Teil-)Ergebnis</w:t>
      </w:r>
    </w:p>
    <w:p w:rsidR="00F179EC" w:rsidRPr="00F179EC" w:rsidRDefault="00F179EC" w:rsidP="00F179EC">
      <w:r w:rsidRPr="00F179EC">
        <w:t>Forschungsinstrument Text-Vignetten</w:t>
      </w:r>
    </w:p>
    <w:p w:rsidR="00F179EC" w:rsidRDefault="00F179EC" w:rsidP="00F179EC">
      <w:r w:rsidRPr="00F179EC">
        <w:t>Ausgangspunkt: Es fehlen Instrumente zur Erfassung von Kompetenzen zur Erkennung von Lernbarrieren (z. B. zur Evalua</w:t>
      </w:r>
      <w:r>
        <w:t xml:space="preserve">tion von Lehrveranstaltungen). </w:t>
      </w:r>
    </w:p>
    <w:p w:rsidR="00F179EC" w:rsidRPr="00F179EC" w:rsidRDefault="00F179EC" w:rsidP="00F179EC">
      <w:r w:rsidRPr="00F179EC">
        <w:t>Zielstellung: Entwicklung und Validierung eines Forschungsinstruments</w:t>
      </w:r>
    </w:p>
    <w:p w:rsidR="00F179EC" w:rsidRPr="00F179EC" w:rsidRDefault="00F179EC" w:rsidP="00F179EC">
      <w:r w:rsidRPr="00F179EC">
        <w:t>Methode: Erstellung von Text-Vignetten zu schulischen Unterrichtssituationen, die nach dem Vorliegen von Lernbarrieren eingeschätzt werden. Validierung durch Experten und Durchführung in Studierendenstichproben ist aktuell in Auswertung.</w:t>
      </w:r>
    </w:p>
    <w:p w:rsidR="00F179EC" w:rsidRDefault="00F179EC" w:rsidP="00F179EC">
      <w:r w:rsidRPr="00F179EC">
        <w:t>Beispiel</w:t>
      </w:r>
      <w:r w:rsidR="0099358C">
        <w:t xml:space="preserve"> Textvignette</w:t>
      </w:r>
      <w:r w:rsidRPr="00F179EC">
        <w:t>: ... Celina ist früher fertig und fragt: „Darf ich schon malen?“ Lehrerin: „Ja, ok“. C. springt auf. L.: „Celina, räum bitte deine Stifte weg.“ C. geht zurück, räumt Stifte weg, geht wieder los. L.: „Du musst es auch abheften!“ …</w:t>
      </w:r>
    </w:p>
    <w:p w:rsidR="0099358C" w:rsidRDefault="0099358C" w:rsidP="00F179EC">
      <w:r>
        <w:t>Beispiel Skala (in tabellarischer Form):</w:t>
      </w:r>
    </w:p>
    <w:p w:rsidR="0099358C" w:rsidRDefault="0099358C" w:rsidP="00F179EC">
      <w:r>
        <w:t>Item: Der Unterrichtsverlauf lässt etablierte Regeln &amp; Routinen erkennen; Skala: trifft gar nicht zu; trifft eher zu, trifft eher zu, trifft völlig zu</w:t>
      </w:r>
    </w:p>
    <w:p w:rsidR="00D80970" w:rsidRPr="0099358C" w:rsidRDefault="00D80970" w:rsidP="00D80970">
      <w:pPr>
        <w:pStyle w:val="berschrift2"/>
        <w:rPr>
          <w:lang w:val="en-US"/>
        </w:rPr>
      </w:pPr>
      <w:r w:rsidRPr="0099358C">
        <w:rPr>
          <w:lang w:val="en-US"/>
        </w:rPr>
        <w:lastRenderedPageBreak/>
        <w:t>Literatur</w:t>
      </w:r>
    </w:p>
    <w:p w:rsidR="0099358C" w:rsidRDefault="0099358C" w:rsidP="0099358C">
      <w:r w:rsidRPr="0099358C">
        <w:rPr>
          <w:lang w:val="en-US"/>
        </w:rPr>
        <w:t xml:space="preserve">Blömeke, S., Gustafsson, J.-E. &amp; Shavelson, R. J. (2015). Beyond dichotomies: Competence viewed as a continuum. </w:t>
      </w:r>
      <w:r>
        <w:t>Zeitschrift für Psychologie, 223(1), 3-13.</w:t>
      </w:r>
    </w:p>
    <w:p w:rsidR="0099358C" w:rsidRPr="0099358C" w:rsidRDefault="0099358C" w:rsidP="0099358C">
      <w:pPr>
        <w:rPr>
          <w:lang w:val="en-US"/>
        </w:rPr>
      </w:pPr>
      <w:r>
        <w:t xml:space="preserve">Holodynski, M., Steffensky, M., Gold, B., … (2017). Videobasierte Erfassung professioneller Wahrnehmung von Klassenführung und Lernunterstützung im naturwissenschaftlichen Grundschulunterricht. In C. Gräsel &amp; K. Trempler (Hrsg). Entwicklung von Professionalität pädagogischen Personals (283-302). </w:t>
      </w:r>
      <w:r w:rsidRPr="0099358C">
        <w:rPr>
          <w:lang w:val="en-US"/>
        </w:rPr>
        <w:t>Wiesbaden: Springer.</w:t>
      </w:r>
    </w:p>
    <w:p w:rsidR="0099358C" w:rsidRDefault="0099358C" w:rsidP="0099358C">
      <w:r w:rsidRPr="0099358C">
        <w:rPr>
          <w:lang w:val="en-US"/>
        </w:rPr>
        <w:t xml:space="preserve">Meyer, A., Rose, D. H. &amp; Gordon, D. (2014). Universal Design for Learning: theory and practice. </w:t>
      </w:r>
      <w:r>
        <w:t>Wakefield: CAST.</w:t>
      </w:r>
    </w:p>
    <w:p w:rsidR="0099358C" w:rsidRDefault="0099358C" w:rsidP="0099358C">
      <w:r>
        <w:t xml:space="preserve">Neuweg, G. H. (2004): Figuren der Relationierung von Lehrerwissen und Lehrerkönnen. In B. Hackl &amp; G. H. Neuweg (Hrsg.). Zur Professionalisierung pädagogischen Handelns. (S. 1-26). Münster: LIT. </w:t>
      </w:r>
    </w:p>
    <w:p w:rsidR="0099358C" w:rsidRDefault="0099358C" w:rsidP="0099358C">
      <w:r>
        <w:t xml:space="preserve">Sherin, M. G., Jacobs, V. R. &amp; Randolph, P. A. (Hrsg.) (2011). </w:t>
      </w:r>
      <w:r w:rsidRPr="0099358C">
        <w:rPr>
          <w:lang w:val="en-US"/>
        </w:rPr>
        <w:t xml:space="preserve">Mathematics teacher noticing: Seeing through teachers’ eyes. </w:t>
      </w:r>
      <w:r>
        <w:t>New York: Routledge.</w:t>
      </w:r>
    </w:p>
    <w:p w:rsidR="004314EF" w:rsidRPr="004314EF" w:rsidRDefault="0099358C" w:rsidP="0099358C">
      <w:r>
        <w:t>Wember, F. B., Melle, I. (2018). Adaptive Lernsituationen im inklusiven Unterricht: Planung und Analyse von Unterricht auf Basis des Universal Design for Learning. In S. Hußmann &amp; Welzel, B. (Hrsg.) DoProfil – Das Dortmunder Profil für inklusionsorientierte Lehrerinnen- und Lehrerausbildung. Münster: Waxmann.</w:t>
      </w:r>
    </w:p>
    <w:sectPr w:rsidR="004314EF" w:rsidRPr="004314EF" w:rsidSect="00773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 UHH">
    <w:altName w:val="The Sans UHH"/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E04"/>
    <w:multiLevelType w:val="hybridMultilevel"/>
    <w:tmpl w:val="F4A2AA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133F2"/>
    <w:multiLevelType w:val="hybridMultilevel"/>
    <w:tmpl w:val="16E010A0"/>
    <w:lvl w:ilvl="0" w:tplc="2C48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AF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23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C8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9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2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A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26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E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E71429"/>
    <w:multiLevelType w:val="hybridMultilevel"/>
    <w:tmpl w:val="72024120"/>
    <w:lvl w:ilvl="0" w:tplc="287C9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0D4"/>
    <w:multiLevelType w:val="hybridMultilevel"/>
    <w:tmpl w:val="1EE6A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1B1"/>
    <w:multiLevelType w:val="hybridMultilevel"/>
    <w:tmpl w:val="CCE4D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7AF"/>
    <w:multiLevelType w:val="hybridMultilevel"/>
    <w:tmpl w:val="08564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6FD8"/>
    <w:multiLevelType w:val="hybridMultilevel"/>
    <w:tmpl w:val="2F38D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1835"/>
    <w:multiLevelType w:val="hybridMultilevel"/>
    <w:tmpl w:val="67661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66C"/>
    <w:multiLevelType w:val="hybridMultilevel"/>
    <w:tmpl w:val="BF9E9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43137"/>
    <w:multiLevelType w:val="hybridMultilevel"/>
    <w:tmpl w:val="6624F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40727"/>
    <w:multiLevelType w:val="hybridMultilevel"/>
    <w:tmpl w:val="1BD64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15674"/>
    <w:multiLevelType w:val="hybridMultilevel"/>
    <w:tmpl w:val="CF4E7BA2"/>
    <w:lvl w:ilvl="0" w:tplc="E0164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879C2"/>
    <w:multiLevelType w:val="hybridMultilevel"/>
    <w:tmpl w:val="B052C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90EDD"/>
    <w:multiLevelType w:val="hybridMultilevel"/>
    <w:tmpl w:val="CE762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B3"/>
    <w:rsid w:val="00027972"/>
    <w:rsid w:val="000A18F1"/>
    <w:rsid w:val="000F0623"/>
    <w:rsid w:val="000F4944"/>
    <w:rsid w:val="001138DC"/>
    <w:rsid w:val="001702F2"/>
    <w:rsid w:val="0019355E"/>
    <w:rsid w:val="002013EF"/>
    <w:rsid w:val="00286BAD"/>
    <w:rsid w:val="002C3400"/>
    <w:rsid w:val="003A44BB"/>
    <w:rsid w:val="003F1AB3"/>
    <w:rsid w:val="004314EF"/>
    <w:rsid w:val="00463762"/>
    <w:rsid w:val="00482680"/>
    <w:rsid w:val="00582810"/>
    <w:rsid w:val="005A5D25"/>
    <w:rsid w:val="00620531"/>
    <w:rsid w:val="00690696"/>
    <w:rsid w:val="007079B8"/>
    <w:rsid w:val="00740632"/>
    <w:rsid w:val="007C4F7A"/>
    <w:rsid w:val="00877D07"/>
    <w:rsid w:val="0095526F"/>
    <w:rsid w:val="0098480A"/>
    <w:rsid w:val="009877B3"/>
    <w:rsid w:val="0099358C"/>
    <w:rsid w:val="009B2CCF"/>
    <w:rsid w:val="009F10BD"/>
    <w:rsid w:val="00A06853"/>
    <w:rsid w:val="00B71515"/>
    <w:rsid w:val="00BB0061"/>
    <w:rsid w:val="00C82E81"/>
    <w:rsid w:val="00CB2F7E"/>
    <w:rsid w:val="00D46ADB"/>
    <w:rsid w:val="00D80970"/>
    <w:rsid w:val="00E46DED"/>
    <w:rsid w:val="00F179EC"/>
    <w:rsid w:val="00F52C2E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0D8E"/>
  <w15:docId w15:val="{7B8F9498-4038-4ABE-B386-9CB8266F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8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7B3"/>
    <w:pPr>
      <w:spacing w:line="276" w:lineRule="auto"/>
      <w:jc w:val="left"/>
    </w:pPr>
    <w:rPr>
      <w:rFonts w:ascii="TheSans UHH" w:hAnsi="TheSans UHH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7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77B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77B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06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77B3"/>
    <w:rPr>
      <w:rFonts w:ascii="TheSans UHH" w:eastAsiaTheme="majorEastAsia" w:hAnsi="TheSans UHH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7B3"/>
    <w:rPr>
      <w:rFonts w:ascii="TheSans UHH" w:eastAsiaTheme="majorEastAsia" w:hAnsi="TheSans UHH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77B3"/>
    <w:rPr>
      <w:rFonts w:ascii="TheSans UHH" w:eastAsiaTheme="majorEastAsia" w:hAnsi="TheSans UHH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9877B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F06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314EF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0632"/>
    <w:rPr>
      <w:rFonts w:asciiTheme="majorHAnsi" w:eastAsiaTheme="majorEastAsia" w:hAnsiTheme="majorHAns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3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3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1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2F5B-DC58-45B6-8290-56D75BC1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Michailidis</dc:creator>
  <cp:lastModifiedBy>WissMit</cp:lastModifiedBy>
  <cp:revision>2</cp:revision>
  <dcterms:created xsi:type="dcterms:W3CDTF">2019-09-03T08:53:00Z</dcterms:created>
  <dcterms:modified xsi:type="dcterms:W3CDTF">2019-09-03T08:53:00Z</dcterms:modified>
</cp:coreProperties>
</file>